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pacing w:val="20"/>
          <w:sz w:val="20"/>
          <w:szCs w:val="24"/>
        </w:rPr>
      </w:pPr>
      <w:r>
        <w:rPr>
          <w:rFonts w:ascii="Times New Roman" w:hAnsi="Times New Roman"/>
          <w:spacing w:val="20"/>
          <w:sz w:val="20"/>
          <w:szCs w:val="24"/>
        </w:rPr>
      </w:r>
      <w:bookmarkStart w:id="0" w:name="_GoBack"/>
      <w:bookmarkStart w:id="1" w:name="_GoBack"/>
      <w:bookmarkEnd w:id="1"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2" w:name="Par161"/>
      <w:bookmarkStart w:id="3" w:name="Par163"/>
      <w:bookmarkStart w:id="4" w:name="Par161"/>
      <w:bookmarkStart w:id="5" w:name="Par163"/>
      <w:bookmarkEnd w:id="4"/>
      <w:bookmarkEnd w:id="5"/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ИДЕНТИФИКАЦИОННОЕ ЗАКЛЮЧЕНИЕ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b/>
          <w:sz w:val="24"/>
          <w:szCs w:val="24"/>
        </w:rPr>
        <w:t xml:space="preserve">____________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23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 xml:space="preserve"> 7724068140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6"/>
      <w:bookmarkEnd w:id="6"/>
      <w:r>
        <w:rPr>
          <w:rFonts w:cs="Times New Roman" w:ascii="Times New Roman" w:hAnsi="Times New Roman"/>
          <w:b/>
          <w:sz w:val="24"/>
          <w:szCs w:val="24"/>
        </w:rPr>
        <w:t>1. Составитель заключения: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Министерства науки и высшего образования Российской Федерации,  115409, г. Москва, Каширское шоссе, д. 31, тел. +7 (499) 324-77-77.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Сведения о внешнеэкономической операции: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материал выпускной квалификационной работы студента 2023 года выпуска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К</w:t>
      </w:r>
      <w:r>
        <w:rPr>
          <w:rFonts w:cs="Times New Roman" w:ascii="Times New Roman" w:hAnsi="Times New Roman"/>
          <w:color w:val="000000"/>
          <w:sz w:val="24"/>
          <w:lang w:val="ru-RU"/>
        </w:rPr>
        <w:t>алашникова Дмитрия Сергеевича</w:t>
      </w:r>
      <w:r>
        <w:rPr>
          <w:rFonts w:cs="Times New Roman" w:ascii="Times New Roman" w:hAnsi="Times New Roman"/>
          <w:color w:val="000000"/>
          <w:sz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z w:val="24"/>
          <w:szCs w:val="24"/>
        </w:rPr>
        <w:t>Исследование формирования структур взаимодействующей скрытой массой</w:t>
      </w:r>
      <w:r>
        <w:rPr>
          <w:rFonts w:cs="Times New Roman" w:ascii="Times New Roman" w:hAnsi="Times New Roman"/>
          <w:color w:val="000000"/>
          <w:sz w:val="24"/>
          <w:szCs w:val="24"/>
        </w:rPr>
        <w:t>»</w:t>
      </w:r>
      <w:r>
        <w:rPr>
          <w:rFonts w:cs="Times New Roman" w:ascii="Times New Roman" w:hAnsi="Times New Roman"/>
          <w:color w:val="FF0000"/>
          <w:sz w:val="24"/>
          <w:szCs w:val="28"/>
        </w:rPr>
        <w:t>,</w:t>
      </w:r>
      <w:r>
        <w:rPr>
          <w:rFonts w:cs="Times New Roman" w:ascii="Times New Roman" w:hAnsi="Times New Roman"/>
          <w:sz w:val="24"/>
          <w:szCs w:val="28"/>
        </w:rPr>
        <w:t xml:space="preserve"> кафедры «Физика элементарных частиц» (№40), представленный для размещения на официальном сайте Национального исследовательского ядерного университета «МИФИ».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7" w:name="Par170"/>
      <w:bookmarkEnd w:id="7"/>
      <w:r>
        <w:rPr>
          <w:rFonts w:cs="Times New Roman" w:ascii="Times New Roman" w:hAnsi="Times New Roman"/>
          <w:b/>
          <w:sz w:val="24"/>
          <w:szCs w:val="24"/>
        </w:rPr>
        <w:t>2.1. Документ, на основании которого осуществляется внешнеэкономическая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операция</w:t>
      </w:r>
      <w:r>
        <w:rPr>
          <w:rFonts w:cs="Times New Roman" w:ascii="Times New Roman" w:hAnsi="Times New Roman"/>
          <w:sz w:val="24"/>
          <w:szCs w:val="24"/>
        </w:rPr>
        <w:t xml:space="preserve"> без договора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73"/>
      <w:bookmarkEnd w:id="8"/>
      <w:r>
        <w:rPr>
          <w:rFonts w:cs="Times New Roman" w:ascii="Times New Roman" w:hAnsi="Times New Roman"/>
          <w:b/>
          <w:sz w:val="24"/>
          <w:szCs w:val="24"/>
        </w:rPr>
        <w:t xml:space="preserve">2.2. Страна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назначения</w:t>
      </w:r>
      <w:r>
        <w:rPr>
          <w:rFonts w:cs="Times New Roman" w:ascii="Times New Roman" w:hAnsi="Times New Roman"/>
          <w:b/>
          <w:sz w:val="24"/>
          <w:szCs w:val="24"/>
        </w:rPr>
        <w:t xml:space="preserve"> (отправления):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Российская Федерация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5"/>
      <w:bookmarkEnd w:id="9"/>
      <w:r>
        <w:rPr>
          <w:rFonts w:cs="Times New Roman" w:ascii="Times New Roman" w:hAnsi="Times New Roman"/>
          <w:b/>
          <w:sz w:val="24"/>
          <w:szCs w:val="24"/>
        </w:rPr>
        <w:t>2.3. Российский участник внешнеэкономической операции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Министерства науки и высшего образования Российской Федерации,  115409, г. Москва, Каширское шоссе, д. 31, тел. +7 (499) 324-77-77.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2.4. Иностранные участники внешнеэкономической операции 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9"/>
      <w:bookmarkEnd w:id="10"/>
      <w:r>
        <w:rPr>
          <w:rFonts w:cs="Times New Roman" w:ascii="Times New Roman" w:hAnsi="Times New Roman"/>
          <w:b/>
          <w:sz w:val="24"/>
          <w:szCs w:val="24"/>
        </w:rPr>
        <w:t>2.4.1. Покупатель (продавец)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>официальный сайт Национального исследовательского ядерного университета «МИФИ».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2.4.2. Потребитель (конечный пользователь)</w:t>
      </w:r>
      <w:r>
        <w:rPr>
          <w:rFonts w:cs="Times New Roman" w:ascii="Times New Roman" w:hAnsi="Times New Roman"/>
          <w:sz w:val="24"/>
          <w:szCs w:val="24"/>
        </w:rPr>
        <w:t xml:space="preserve"> не определен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1" w:name="Par184"/>
      <w:bookmarkEnd w:id="11"/>
      <w:r>
        <w:rPr>
          <w:rFonts w:cs="Times New Roman" w:ascii="Times New Roman" w:hAnsi="Times New Roman"/>
          <w:b/>
          <w:sz w:val="24"/>
          <w:szCs w:val="24"/>
        </w:rPr>
        <w:t>3. Сведения об идентифицируемых товарах и идентифицируемых продуктах научно-технической деятельности</w:t>
      </w:r>
    </w:p>
    <w:tbl>
      <w:tblPr>
        <w:tblW w:w="10206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93"/>
        <w:gridCol w:w="2124"/>
        <w:gridCol w:w="1703"/>
        <w:gridCol w:w="5385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87"/>
            <w:bookmarkEnd w:id="12"/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88"/>
            <w:bookmarkEnd w:id="13"/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89"/>
            <w:bookmarkEnd w:id="14"/>
            <w:r>
              <w:rPr>
                <w:rFonts w:cs="Times New Roman"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ТН ВЭД ЕАЭС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90"/>
            <w:bookmarkEnd w:id="15"/>
            <w:r>
              <w:rPr>
                <w:rFonts w:cs="Times New Roman" w:ascii="Times New Roman" w:hAnsi="Times New Roman"/>
                <w:sz w:val="24"/>
                <w:szCs w:val="24"/>
              </w:rPr>
              <w:t>Описание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Материал выпускной квалификационной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  <w:lang w:val="ru-RU"/>
              </w:rPr>
              <w:t xml:space="preserve">работы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  <w:lang w:val="ru-RU"/>
              </w:rPr>
              <w:t>алашникова Дмитрия Сергеевича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Исследование формирования структур взаимодействующей скрытой массой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Ключевые слова:</w:t>
            </w: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самовзаимодействующая скрытая масса, рекомбинация,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трехчастичная рекомбинация.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Выпускная работа посвящена изучению формирования структур из вза-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имодействующей скрытой массы и рассмотрению различных процессов в раз-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личных приближениях для сечения рекомбинации с целью исследования их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влияния на динамику образования структур скрытой массы.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частности, было проведено изучение формул классической и трехча-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стичной рекомбинации, были определены пределы их применимости.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Также для формулы трехчастичной рекомбинации было проведены ана-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литический и численный расчет количества прорекомбинировавших частиц от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температуры обычных фотонов. Полученные данные говорят о возможности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использования формулы для трехчастичной рекомбинации в ранней Вселенной.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6" w:name="Par196"/>
      <w:bookmarkEnd w:id="16"/>
      <w:r>
        <w:rPr>
          <w:rFonts w:cs="Times New Roman" w:ascii="Times New Roman" w:hAnsi="Times New Roman"/>
          <w:b/>
          <w:sz w:val="24"/>
          <w:szCs w:val="24"/>
        </w:rPr>
        <w:t>4.1. Позиции (пункты) контрольных списков, выбранные для сравнительного анализа</w:t>
      </w:r>
    </w:p>
    <w:tbl>
      <w:tblPr>
        <w:tblW w:w="10206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247"/>
        <w:gridCol w:w="3997"/>
        <w:gridCol w:w="1702"/>
        <w:gridCol w:w="3259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99"/>
            <w:bookmarkEnd w:id="17"/>
            <w:r>
              <w:rPr>
                <w:rFonts w:cs="Times New Roman" w:ascii="Times New Roman" w:hAnsi="Times New Roman"/>
                <w:sz w:val="24"/>
                <w:szCs w:val="24"/>
              </w:rPr>
              <w:t>N объекта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200"/>
            <w:bookmarkEnd w:id="18"/>
            <w:r>
              <w:rPr>
                <w:rFonts w:cs="Times New Roman" w:ascii="Times New Roman" w:hAnsi="Times New Roman"/>
                <w:sz w:val="24"/>
                <w:szCs w:val="24"/>
              </w:rPr>
              <w:t>Номер позиции (пункта)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201"/>
            <w:bookmarkEnd w:id="19"/>
            <w:r>
              <w:rPr>
                <w:rFonts w:cs="Times New Roman" w:ascii="Times New Roman" w:hAnsi="Times New Roman"/>
                <w:sz w:val="24"/>
                <w:szCs w:val="24"/>
              </w:rPr>
              <w:t>Номер раздела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202"/>
            <w:bookmarkEnd w:id="20"/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списка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позиций (пунктов) для сравнительного анализа не имеется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21" w:name="Par204"/>
      <w:bookmarkEnd w:id="21"/>
      <w:r>
        <w:rPr>
          <w:rFonts w:cs="Times New Roman" w:ascii="Times New Roman" w:hAnsi="Times New Roman"/>
          <w:b/>
          <w:sz w:val="24"/>
          <w:szCs w:val="24"/>
        </w:rPr>
        <w:t>4.2. Результаты сравнительного анализа</w:t>
      </w:r>
    </w:p>
    <w:tbl>
      <w:tblPr>
        <w:tblW w:w="10206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247"/>
        <w:gridCol w:w="2607"/>
        <w:gridCol w:w="3061"/>
        <w:gridCol w:w="3290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06"/>
            <w:bookmarkEnd w:id="22"/>
            <w:r>
              <w:rPr>
                <w:rFonts w:cs="Times New Roman" w:ascii="Times New Roman" w:hAnsi="Times New Roman"/>
                <w:sz w:val="24"/>
                <w:szCs w:val="24"/>
              </w:rPr>
              <w:t>N объекта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07"/>
            <w:bookmarkEnd w:id="23"/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08"/>
            <w:bookmarkEnd w:id="24"/>
            <w:r>
              <w:rPr>
                <w:rFonts w:cs="Times New Roman" w:ascii="Times New Roman" w:hAnsi="Times New Roman"/>
                <w:sz w:val="24"/>
                <w:szCs w:val="24"/>
              </w:rPr>
              <w:t>Описание позиции (пункта)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09"/>
            <w:bookmarkEnd w:id="25"/>
            <w:r>
              <w:rPr>
                <w:rFonts w:cs="Times New Roman" w:ascii="Times New Roman" w:hAnsi="Times New Roman"/>
                <w:sz w:val="24"/>
                <w:szCs w:val="24"/>
              </w:rPr>
              <w:t>Выводы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указание характеристик не требуется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соответствует контролируемым товарам (технологиям)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26" w:name="Par215"/>
      <w:bookmarkEnd w:id="26"/>
      <w:r>
        <w:rPr>
          <w:rFonts w:cs="Times New Roman" w:ascii="Times New Roman" w:hAnsi="Times New Roman"/>
          <w:b/>
          <w:sz w:val="24"/>
          <w:szCs w:val="24"/>
        </w:rPr>
        <w:t>5.1. Применение специальных экономических мер: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16"/>
      <w:bookmarkEnd w:id="27"/>
      <w:r>
        <w:rPr>
          <w:rFonts w:cs="Times New Roman" w:ascii="Times New Roman" w:hAnsi="Times New Roman"/>
          <w:b/>
          <w:sz w:val="24"/>
          <w:szCs w:val="24"/>
        </w:rPr>
        <w:t>а) в отношении страны назначения (отправления)</w:t>
      </w:r>
      <w:r>
        <w:rPr>
          <w:rFonts w:cs="Times New Roman" w:ascii="Times New Roman" w:hAnsi="Times New Roman"/>
          <w:sz w:val="24"/>
          <w:szCs w:val="24"/>
        </w:rPr>
        <w:t xml:space="preserve"> специальные экономические меры не применяются;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18"/>
      <w:bookmarkEnd w:id="28"/>
      <w:r>
        <w:rPr>
          <w:rFonts w:cs="Times New Roman" w:ascii="Times New Roman" w:hAnsi="Times New Roman"/>
          <w:b/>
          <w:sz w:val="24"/>
          <w:szCs w:val="24"/>
        </w:rPr>
        <w:t>б) в отношении иностранного участника внешнеэкономической операции</w:t>
      </w:r>
      <w:r>
        <w:rPr>
          <w:rFonts w:cs="Times New Roman" w:ascii="Times New Roman" w:hAnsi="Times New Roman"/>
          <w:sz w:val="24"/>
          <w:szCs w:val="24"/>
        </w:rPr>
        <w:t xml:space="preserve"> специальные экономические меры не применяются;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220"/>
      <w:bookmarkEnd w:id="29"/>
      <w:r>
        <w:rPr>
          <w:rFonts w:cs="Times New Roman" w:ascii="Times New Roman" w:hAnsi="Times New Roman"/>
          <w:b/>
          <w:sz w:val="24"/>
          <w:szCs w:val="24"/>
        </w:rPr>
        <w:t>в) в отношении идентифицируемых товаров и идентифицируемых продуктов научно-технической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 специальные экономические меры не применяются.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642"/>
        <w:gridCol w:w="8563"/>
      </w:tblGrid>
      <w:tr>
        <w:trPr/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223"/>
            <w:bookmarkEnd w:id="30"/>
            <w:r>
              <w:rPr>
                <w:rFonts w:cs="Times New Roman" w:ascii="Times New Roman" w:hAnsi="Times New Roman"/>
                <w:sz w:val="24"/>
                <w:szCs w:val="24"/>
              </w:rPr>
              <w:t>N объекта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224"/>
            <w:bookmarkEnd w:id="31"/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проверки</w:t>
            </w:r>
          </w:p>
        </w:tc>
      </w:tr>
      <w:tr>
        <w:trPr/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специальные экономические меры не применяются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226"/>
      <w:bookmarkEnd w:id="32"/>
      <w:r>
        <w:rPr>
          <w:rFonts w:cs="Times New Roman" w:ascii="Times New Roman" w:hAnsi="Times New Roman"/>
          <w:b/>
          <w:sz w:val="24"/>
          <w:szCs w:val="24"/>
        </w:rPr>
        <w:t>5.2. 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деятельности:</w:t>
      </w:r>
      <w:r>
        <w:rPr>
          <w:rFonts w:cs="Times New Roman" w:ascii="Times New Roman" w:hAnsi="Times New Roman"/>
          <w:sz w:val="24"/>
          <w:szCs w:val="24"/>
        </w:rPr>
        <w:t xml:space="preserve"> не выявлены.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234"/>
      <w:bookmarkEnd w:id="33"/>
      <w:r>
        <w:rPr>
          <w:rFonts w:cs="Times New Roman" w:ascii="Times New Roman" w:hAnsi="Times New Roman"/>
          <w:b/>
          <w:sz w:val="24"/>
          <w:szCs w:val="24"/>
        </w:rPr>
        <w:t>6. Общие выводы по результатам идентификации:</w:t>
      </w:r>
      <w:r>
        <w:rPr>
          <w:rFonts w:cs="Times New Roman" w:ascii="Times New Roman" w:hAnsi="Times New Roman"/>
          <w:sz w:val="24"/>
          <w:szCs w:val="24"/>
        </w:rPr>
        <w:t xml:space="preserve"> для осуществления внешнеэкономической операции, указанной в настоящем заключении, лицензия или иное разрешение, предусмотренное законодательством Российской Федерации в области экспортного контроля, не требуется.</w:t>
      </w:r>
    </w:p>
    <w:p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36"/>
      <w:bookmarkEnd w:id="34"/>
      <w:r>
        <w:rPr>
          <w:rFonts w:cs="Times New Roman" w:ascii="Times New Roman" w:hAnsi="Times New Roman"/>
          <w:b/>
          <w:sz w:val="24"/>
          <w:szCs w:val="24"/>
        </w:rPr>
        <w:t>7. Дополнительная информация:</w:t>
      </w:r>
      <w:r>
        <w:rPr>
          <w:rFonts w:cs="Times New Roman" w:ascii="Times New Roman" w:hAnsi="Times New Roman"/>
          <w:sz w:val="24"/>
          <w:szCs w:val="24"/>
        </w:rPr>
        <w:t xml:space="preserve"> заключение подготовлено экспертной комиссией №1.2.1 зам. председатель комиссии, проф.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_____________/Г.В. Тихомиров/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(подпись)</w:t>
        <w:tab/>
        <w:t>(инициалы, фамилия)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Срок действия заключения – до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>
      <w:pPr>
        <w:pStyle w:val="ConsPlusNonformat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Приложение (при наличии):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25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л.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8"/>
        </w:rPr>
      </w:pPr>
      <w:bookmarkStart w:id="35" w:name="Par238"/>
      <w:bookmarkEnd w:id="35"/>
      <w:r>
        <w:rPr>
          <w:rFonts w:ascii="Times New Roman" w:hAnsi="Times New Roman"/>
          <w:b/>
          <w:sz w:val="24"/>
          <w:szCs w:val="24"/>
        </w:rPr>
        <w:t>8. Уполномоченное лицо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6" w:name="Par239"/>
      <w:bookmarkEnd w:id="36"/>
      <w:r>
        <w:rPr>
          <w:rFonts w:ascii="Times New Roman" w:hAnsi="Times New Roman"/>
          <w:sz w:val="24"/>
          <w:szCs w:val="28"/>
        </w:rPr>
        <w:t xml:space="preserve">Председатель комиссии НИЯУ МИФИ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экспортному контролю,  начальник Управления научных исследований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 В.А. Сенюков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 Дата составления: </w:t>
      </w:r>
      <w:r>
        <w:rPr>
          <w:rFonts w:cs="Times New Roman" w:ascii="Times New Roman" w:hAnsi="Times New Roman"/>
          <w:sz w:val="24"/>
          <w:szCs w:val="24"/>
        </w:rPr>
        <w:t>__________________</w:t>
      </w:r>
    </w:p>
    <w:sectPr>
      <w:footerReference w:type="default" r:id="rId2"/>
      <w:type w:val="nextPage"/>
      <w:pgSz w:w="11906" w:h="16838"/>
      <w:pgMar w:left="1133" w:right="566" w:gutter="0" w:header="0" w:top="993" w:footer="0" w:bottom="144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a546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a546b"/>
    <w:rPr/>
  </w:style>
  <w:style w:type="character" w:styleId="Style16">
    <w:name w:val="Текст выноски Знак"/>
    <w:qFormat/>
    <w:rPr>
      <w:rFonts w:cs="Times New Roman"/>
      <w:sz w:val="2"/>
      <w:szCs w:val="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val="ru-RU" w:eastAsia="ru-RU" w:bidi="ar-SA"/>
    </w:rPr>
  </w:style>
  <w:style w:type="paragraph" w:styleId="ConsPlusTitlePage" w:customStyle="1">
    <w:name w:val="ConsPlusTitlePag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6a546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6a546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lineRule="exact" w:line="276" w:before="0" w:after="200"/>
      <w:ind w:left="720" w:hanging="0"/>
    </w:pPr>
    <w:rPr>
      <w:rFonts w:ascii="Calibri" w:hAnsi="Calibri" w:cs="Calibri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LibreOffice/7.2.2.2$Windows_X86_64 LibreOffice_project/02b2acce88a210515b4a5bb2e46cbfb63fe97d56</Application>
  <AppVersion>15.0000</AppVersion>
  <DocSecurity>2</DocSecurity>
  <Pages>3</Pages>
  <Words>537</Words>
  <Characters>4315</Characters>
  <CharactersWithSpaces>4798</CharactersWithSpaces>
  <Paragraphs>63</Paragraphs>
  <Company>КонсультантПлюс Версия 4016.00.05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APDurakovskiy</dc:creator>
  <dc:description/>
  <dc:language>ru-RU</dc:language>
  <cp:lastModifiedBy/>
  <dcterms:modified xsi:type="dcterms:W3CDTF">2023-06-21T16:52:21Z</dcterms:modified>
  <cp:revision>4</cp:revision>
  <dc:subject/>
  <dc:title>Постановление Правительства РФ от 21.06.2016 N 565"О порядке идентификации контролируемых товаров и технологий, форме идентификационного заключения и правилах его заполнения"(вместе с "Правилами проведения идентификации контролируемых товаров и технологий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